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100"/>
      </w:pPr>
      <w:r>
        <w:t xml:space="preserve"/>
      </w:r>
    </w:p>
    <w:p>
      <w:pPr>
        <w:spacing w:after="40" w:before="0"/>
        <w:jc w:val="center"/>
      </w:pPr>
      <w:r>
        <w:rPr>
          <w:rFonts w:ascii="Arial" w:cs="Arial" w:eastAsia="Arial" w:hAnsi="Arial"/>
          <w:b/>
          <w:bCs/>
          <w:caps/>
          <w:color w:val="70AD47"/>
          <w:spacing w:val="80"/>
          <w:sz w:val="18"/>
          <w:szCs w:val="18"/>
        </w:rPr>
        <w:t xml:space="preserve">Für Lehrkräfte</w:t>
      </w:r>
    </w:p>
    <w:p>
      <w:pPr>
        <w:spacing w:after="60" w:before="0"/>
        <w:jc w:val="center"/>
      </w:pPr>
      <w:r>
        <w:rPr>
          <w:rFonts w:ascii="Arial" w:cs="Arial" w:eastAsia="Arial" w:hAnsi="Arial"/>
          <w:b/>
          <w:bCs/>
          <w:color w:val="375623"/>
          <w:sz w:val="44"/>
          <w:szCs w:val="44"/>
        </w:rPr>
        <w:t xml:space="preserve">SRL/SOL im Unterricht</w:t>
      </w:r>
    </w:p>
    <w:p>
      <w:pPr>
        <w:spacing w:after="50" w:before="0"/>
        <w:jc w:val="center"/>
      </w:pPr>
      <w:r>
        <w:rPr>
          <w:rFonts w:ascii="Arial" w:cs="Arial" w:eastAsia="Arial" w:hAnsi="Arial"/>
          <w:i/>
          <w:iCs/>
          <w:color w:val="566573"/>
          <w:sz w:val="21"/>
          <w:szCs w:val="21"/>
        </w:rPr>
        <w:t xml:space="preserve">Lernplanung, Methodenwissen, Durchhaltevermögen und digitale Tools einführen und begleiten</w:t>
      </w:r>
    </w:p>
    <w:p>
      <w:pPr>
        <w:pBdr>
          <w:bottom w:val="single" w:color="70AD47" w:sz="10" w:space="1"/>
        </w:pBdr>
        <w:spacing w:after="100" w:before="80"/>
      </w:pPr>
      <w:r>
        <w:t xml:space="preserve"/>
      </w:r>
    </w:p>
    <w:p>
      <w:pPr>
        <w:spacing w:after="0" w:before="60"/>
      </w:pPr>
      <w:r>
        <w:t xml:space="preserve"/>
      </w:r>
    </w:p>
    <w:p>
      <w:pPr>
        <w:spacing w:after="40" w:before="40"/>
      </w:pPr>
      <w:r>
        <w:rPr>
          <w:rFonts w:ascii="Arial" w:cs="Arial" w:eastAsia="Arial" w:hAnsi="Arial"/>
          <w:b/>
          <w:bCs/>
          <w:color w:val="2C3E50"/>
          <w:sz w:val="19"/>
          <w:szCs w:val="19"/>
        </w:rPr>
        <w:t xml:space="preserve">Diese Checkliste spiegelt die Schüler-Checkliste. </w:t>
      </w:r>
      <w:r>
        <w:rPr>
          <w:rFonts w:ascii="Arial" w:cs="Arial" w:eastAsia="Arial" w:hAnsi="Arial"/>
          <w:color w:val="2C3E50"/>
          <w:sz w:val="19"/>
          <w:szCs w:val="19"/>
        </w:rPr>
        <w:t xml:space="preserve">Zu jeder Kompetenz, die Schüler:innen entwickeln sollen, gibt es hier einen Hinweis, wie Sie diese einführen, üben und dauerhaft etablieren.</w:t>
      </w:r>
    </w:p>
    <w:p>
      <w:pPr>
        <w:spacing w:after="0" w:before="6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375623" w:val="clear"/>
            <w:tcMar>
              <w:top w:type="dxa" w:w="74"/>
              <w:left w:type="dxa" w:w="150"/>
              <w:bottom w:type="dxa" w:w="64"/>
              <w:right w:type="dxa" w:w="15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Grundprinzip der Strategievermittlung (Karlen et al., 2025)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EFDA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1.  Einführen &amp; erklären: Was ist die Strategie? Warum ist sie nützlich?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EFDA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2.  Demonstrieren: Zeigen Sie die Anwendung am Fachbeispiel – laut denken!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EFDA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3.  Üben lassen: Schüler:innen wenden die Strategie an einer echten Aufgabe an.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EFDA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4.  Feedback geben: Was hat gut funktioniert? Was wird nächstes Mal anders?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EFDA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5.  Wiederholen: Regelmäßige Einbindung in den Unterricht – kein Einzelereignis.</w:t>
            </w:r>
          </w:p>
        </w:tc>
      </w:tr>
    </w:tbl>
    <w:p>
      <w:pPr>
        <w:spacing w:after="0" w:before="14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375623" w:val="clear"/>
            <w:tcMar>
              <w:top w:type="dxa" w:w="88"/>
              <w:left w:type="dxa" w:w="160"/>
              <w:bottom w:type="dxa" w:w="44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E2EFDA"/>
                <w:sz w:val="27"/>
                <w:szCs w:val="27"/>
              </w:rPr>
              <w:t xml:space="preserve">①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PHASE 1 – Einführen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70AD47" w:val="clear"/>
            <w:tcMar>
              <w:top w:type="dxa" w:w="44"/>
              <w:left w:type="dxa" w:w="160"/>
              <w:bottom w:type="dxa" w:w="64"/>
              <w:right w:type="dxa" w:w="160"/>
            </w:tcMar>
          </w:tcPr>
          <w:p>
            <w:r>
              <w:rPr>
                <w:rFonts w:ascii="Arial" w:cs="Arial" w:eastAsia="Arial" w:hAnsi="Arial"/>
                <w:i/>
                <w:iCs/>
                <w:color w:val="FFFFFF"/>
                <w:sz w:val="18"/>
                <w:szCs w:val="18"/>
              </w:rPr>
              <w:t xml:space="preserve">Schuljahresbeginn: Strukturen, Methoden und Erwartungen klären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70AD47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375623"/>
          <w:sz w:val="20"/>
          <w:szCs w:val="20"/>
        </w:rPr>
        <w:t xml:space="preserve">Lernplanung im Unterricht verankern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formuliere transparente Lernziele und erkläre den Sinn dahinter.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"Am Ende dieser Einheit könnt ihr die 5 Schritte der Fotosynthese erklären – das braucht ihr für die SA und Klasse 10."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Nicht nur das Ziel nennen – den Sinn erklären motiviert nachhaltiger (Deci &amp; Ryan).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zeige, wie eine realistische Lernplanung für eine Schulaufgabe aussieht.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Gemeinsam einen Rückwärts-Zeitplan entwickeln: SA in 12 Tagen → heute: Stoff sichten → Tag 5: üben → Tag 10: Probetest.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Modelllernen: Ich zeige meinen eigenen Planungsprozess – laut denkend.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gebe Schüler:innen Gelegenheit, eigene Lernziele zu formulieren – und reflektiere sie mit ihnen.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"Was willst du nach dieser Einheit können?" – auf einem Zettel, dann vergleichen und besprechen.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Auch ungenaue Ziele sind ein Lernschritt. Das Formulieren selbst ist die Übung.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führe Rückwärtsplanung als Methode explizit ein: vom Zieldatum aus denken.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Abgabe Referat 10. Juni → Gliederung bis 20. Mai → Recherche bis 30. April.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Wer vorwärts plant, unterschätzt Zeit. Wer rückwärts plant, erkennt, wann er starten muss.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70AD47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375623"/>
          <w:sz w:val="20"/>
          <w:szCs w:val="20"/>
        </w:rPr>
        <w:t xml:space="preserve">Methodenwissen explizit einführen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führe kognitive Strategien mit Begründung ein – nicht nur als Methode.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"Ich zeige euch jetzt Abrufübungen. Der Grund: Euer Gehirn lernt durch aktives Abrufen, nicht durch Wiederlesen."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Schüler:innen, die den Nutzen einer Strategie verstehen, wenden sie häufiger an.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baue Abrufübungen regelmäßig in den Unterrichtsbeginn ein.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5 Minuten ohne Buch zu Stundenbeginn: Was wissen wir noch aus der letzten Stunde? Mündlich oder auf Zettel.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Retrieval Practice ist die forschungsbelegte Methode Nr. 1 für langfristiges Behalten.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führe die Methoden-Übersicht (siehe Tabelle unten) aktiv im Unterricht ein.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Pro Halbjahr: 2–3 Methoden tief verankern, statt 10 oberflächlich nennen.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Wenige Methoden wirklich zu beherrschen ist wertvoller als viele zu kennen.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erkläre, wie man das Schulbuch aktiv nutzt: Register, Glossar, Aufgaben zur Selbstkontrolle.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"Wie finde ich Osmose im Schulbuch?" – Live vorführen: Register → Seite → Aufgabe am Kapitelende.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Buchrecherche ist eine Kompetenz, die heute explizit geübt werden muss.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70AD47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375623"/>
          <w:sz w:val="20"/>
          <w:szCs w:val="20"/>
        </w:rPr>
        <w:t xml:space="preserve">Methoden-Übersicht nach Klassenstufe</w:t>
      </w:r>
    </w:p>
    <w:p>
      <w:pPr>
        <w:spacing w:after="0" w:before="4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2913"/>
        <w:gridCol w:w="2913"/>
      </w:tblGrid>
      <w:tr>
        <w:tc>
          <w:tcPr>
            <w:tcW w:type="dxa" w:w="3200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fill="1F4E79" w:val="clear"/>
            <w:tcMar>
              <w:top w:type="dxa" w:w="78"/>
              <w:left w:type="dxa" w:w="100"/>
              <w:bottom w:type="dxa" w:w="78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Methode / Werkzeug</w:t>
            </w:r>
          </w:p>
        </w:tc>
        <w:tc>
          <w:tcPr>
            <w:tcW w:type="dxa" w:w="291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fill="2E75B6" w:val="clear"/>
            <w:tcMar>
              <w:top w:type="dxa" w:w="78"/>
              <w:left w:type="dxa" w:w="100"/>
              <w:bottom w:type="dxa" w:w="78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Jgst. 8 – geführt</w:t>
            </w:r>
          </w:p>
        </w:tc>
        <w:tc>
          <w:tcPr>
            <w:tcW w:type="dxa" w:w="291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fill="1A8A8A" w:val="clear"/>
            <w:tcMar>
              <w:top w:type="dxa" w:w="78"/>
              <w:left w:type="dxa" w:w="100"/>
              <w:bottom w:type="dxa" w:w="78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Jgst. 9–10 – eigenständig</w:t>
            </w:r>
          </w:p>
        </w:tc>
      </w:tr>
      <w:tr>
        <w:tc>
          <w:tcPr>
            <w:tcW w:type="dxa" w:w="3200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2F3F4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7"/>
                <w:szCs w:val="17"/>
              </w:rPr>
              <w:t xml:space="preserve">Abrufübung (Retrieval Practice)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BF5FB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Geführte Fragen von Lehrkraft zu Stundenbeginn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AF6F6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Schüler:innen formulieren selbst Fragen für Peers</w:t>
            </w:r>
          </w:p>
        </w:tc>
      </w:tr>
      <w:tr>
        <w:tc>
          <w:tcPr>
            <w:tcW w:type="dxa" w:w="3200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7"/>
                <w:szCs w:val="17"/>
              </w:rPr>
              <w:t xml:space="preserve">Concept Map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Mit Vorlage und vorgegebenen Begriffen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Frei erstellen, fächerübergreifend vernetzen</w:t>
            </w:r>
          </w:p>
        </w:tc>
      </w:tr>
      <w:tr>
        <w:tc>
          <w:tcPr>
            <w:tcW w:type="dxa" w:w="3200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2F3F4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7"/>
                <w:szCs w:val="17"/>
              </w:rPr>
              <w:t xml:space="preserve">Karteikarten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BF5FB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Vorlage mit Feldern, Lehrkraft zeigt Beispiel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AF6F6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Selbst erstellen, eigene Fragen entwickeln, digital möglich</w:t>
            </w:r>
          </w:p>
        </w:tc>
      </w:tr>
      <w:tr>
        <w:tc>
          <w:tcPr>
            <w:tcW w:type="dxa" w:w="3200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7"/>
                <w:szCs w:val="17"/>
              </w:rPr>
              <w:t xml:space="preserve">Spaced Repetition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Lehrkraft erstellt Wiederholungsrhythmus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Schüler:innen planen eigenständigen Wiederholungsplan</w:t>
            </w:r>
          </w:p>
        </w:tc>
      </w:tr>
      <w:tr>
        <w:tc>
          <w:tcPr>
            <w:tcW w:type="dxa" w:w="3200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2F3F4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7"/>
                <w:szCs w:val="17"/>
              </w:rPr>
              <w:t xml:space="preserve">Lernplanung (Rückwärts)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BF5FB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Gemeinsam als Klasse, strukturierte Vorlage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AF6F6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Individuell, fächerübergreifend anwenden</w:t>
            </w:r>
          </w:p>
        </w:tc>
      </w:tr>
      <w:tr>
        <w:tc>
          <w:tcPr>
            <w:tcW w:type="dxa" w:w="3200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7"/>
                <w:szCs w:val="17"/>
              </w:rPr>
              <w:t xml:space="preserve">Wenn-Dann-Plan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Klassenweise entwickeln, Ablenkungsszenarien besprechen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Individuell schriftlich festhalten, regelmäßig prüfen</w:t>
            </w:r>
          </w:p>
        </w:tc>
      </w:tr>
      <w:tr>
        <w:tc>
          <w:tcPr>
            <w:tcW w:type="dxa" w:w="3200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2F3F4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7"/>
                <w:szCs w:val="17"/>
              </w:rPr>
              <w:t xml:space="preserve">Digitale Recherche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BF5FB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Feste Liste erlaubter Quellen, geleitete Übung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AF6F6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Eigenständige Quellenauswahl und -kritik</w:t>
            </w:r>
          </w:p>
        </w:tc>
      </w:tr>
      <w:tr>
        <w:tc>
          <w:tcPr>
            <w:tcW w:type="dxa" w:w="3200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7"/>
                <w:szCs w:val="17"/>
              </w:rPr>
              <w:t xml:space="preserve">KI-Tools kritisch nutzen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Lehrkraft-Demo mit Analyse: Was hat die KI falsch?</w:t>
            </w:r>
          </w:p>
        </w:tc>
        <w:tc>
          <w:tcPr>
            <w:tcW w:type="dxa" w:w="29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90"/>
              <w:bottom w:type="dxa" w:w="52"/>
              <w:right w:type="dxa" w:w="7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2C3E50"/>
                <w:sz w:val="17"/>
                <w:szCs w:val="17"/>
              </w:rPr>
              <w:t xml:space="preserve">Selbstständig prüfen und begründen</w:t>
            </w:r>
          </w:p>
        </w:tc>
      </w:tr>
    </w:tbl>
    <w:p>
      <w:pPr>
        <w:spacing w:after="0" w:before="140"/>
      </w:pPr>
      <w:r>
        <w:t xml:space="preserve"/>
      </w:r>
    </w:p>
    <w:p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375623" w:val="clear"/>
            <w:tcMar>
              <w:top w:type="dxa" w:w="88"/>
              <w:left w:type="dxa" w:w="160"/>
              <w:bottom w:type="dxa" w:w="44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E2EFDA"/>
                <w:sz w:val="27"/>
                <w:szCs w:val="27"/>
              </w:rPr>
              <w:t xml:space="preserve">②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PHASE 2 – Begleiten &amp; Festigen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70AD47" w:val="clear"/>
            <w:tcMar>
              <w:top w:type="dxa" w:w="44"/>
              <w:left w:type="dxa" w:w="160"/>
              <w:bottom w:type="dxa" w:w="64"/>
              <w:right w:type="dxa" w:w="160"/>
            </w:tcMar>
          </w:tcPr>
          <w:p>
            <w:r>
              <w:rPr>
                <w:rFonts w:ascii="Arial" w:cs="Arial" w:eastAsia="Arial" w:hAnsi="Arial"/>
                <w:i/>
                <w:iCs/>
                <w:color w:val="FFFFFF"/>
                <w:sz w:val="18"/>
                <w:szCs w:val="18"/>
              </w:rPr>
              <w:t xml:space="preserve">Durchhaltevermögen stärken, digitale Kompetenz ausbauen, Feedback kultivieren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70AD47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375623"/>
          <w:sz w:val="20"/>
          <w:szCs w:val="20"/>
        </w:rPr>
        <w:t xml:space="preserve">Durchhaltevermögen und Ausdauer fördern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thematisiere Motivationstiefs explizit – als normalen Teil des Lernens.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"Jeder kennt die Situation: Man will nicht mehr. Was hilft dann? Wir sammeln Strategien."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Wer weiß, dass Motivationstiefs normal sind, kämpft weniger dagegen an – und kommt schneller raus.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führe die WOOP-Methode im Unterricht ein: Wunsch – Ergebnis – Hindernis – Plan.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Arbeitsblatt: Stelle dir vor, du hast die Aufgabe erfüllt. Was hindert dich gerade? Was ist dein Plan?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Diese Methode aus der Motivationsforschung (Oettingen) ist für Jgst. 8–10 gut einsetzbar.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erkläre den Unterschied zwischen produktiver Anstrengung und erschöpftem Durchkämpfen.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"Anstrengung ist gut. Aber wenn ihr merkt, dass ihr nur noch Fehler macht – kurze echte Pause."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Durchhalten um jeden Preis ist keine Tugend. Strategisches Pausieren schon.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baue Selbstbeobachtungsmomente in den Unterricht ein: "Wie konzentriert bist du gerade?"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Kurze Skala (1–5) auf einem Zettel: Schüler:innen schätzen sich selbst ein – anonym oder persönlich.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Self-Monitoring ist der Kern von Selbstregulation – und muss geübt werden.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normalisiere Fehler aktiv: Fehler werden analysiert, nicht nur markiert.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"Zeigt mir einen Fehler, den ihr gemacht habt. Was zeigt uns dieser Fehler? Was lernen wir daraus?"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Eine Klasse, in der Fehler sicher sind, lernt schneller.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70AD47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375623"/>
          <w:sz w:val="20"/>
          <w:szCs w:val="20"/>
        </w:rPr>
        <w:t xml:space="preserve">Digitale Tools: kritisch einbetten – nicht unreflektiert einsetzen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führe schulkonforme digitale Lernquellen ein und erkläre, warum ich diese empfehle.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"Für Bio: Serlo. Für Sprachen: Schülerduden online. Warum: qualitätsgesicherte Inhalte für euer Niveau."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Eine Empfehlungsliste pro Fach oder als Schulstandard schafft Orientierung.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thematisiere Quellenkritik als Unterrichtsinhalt – nicht nur als Randnotiz.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Übung: Zwei Quellen zum selben Thema vergleichen. Wer hat das geschrieben? Welchen Zweck hat die Seite?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KMK-Kompetenzbereich 6 (Analysieren &amp; Reflektieren): Quellenkritik ist Kernkompetenz, kein Extra.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bette KI-Tools kritisch ein: mit Aufgabenstellungen, die KI-Nutzung und KI-Kritik fordern.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"Lasst eine KI diesen Sachverhalt erklären – dann prüft, ob die Erklärung korrekt ist. Was fehlt? Was ist falsch?"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KI-Nutzung ohne kritische Reflexion ist Abhängigkeit. Mit Reflexion ist sie Kompetenzaufbau.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unterscheide in Aufgaben zwischen erlaubten und nicht erlaubten Quellen – und erkläre warum.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"Für diese Aufgabe: nur Schulbuch und Serlo. Für das Referat: mindestens 2 unterschiedliche Quellen belegen."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Klare Regeln fördern echte Auseinandersetzung mit dem Stoff.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70AD47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375623"/>
          <w:sz w:val="20"/>
          <w:szCs w:val="20"/>
        </w:rPr>
        <w:t xml:space="preserve">Feedback – auf den Prozess, nicht nur das Ergebnis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frage nach dem Lernweg, nicht nur nach dem Ergebnis.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"Wie bist du bei der Aufgabe vorgegangen?" – nicht nur "Hast du die Lösung?"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Diese eine Frage verändert, worüber Schüler:innen nachdenken. (Hattie: d = 0,73)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baue Peer-Feedback mit fester Struktur ein.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"1 Stärke benennen + 1 konkreter Verbesserungshinweis" – nach Partnerarbeit oder Abrufübung.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Beim Geben von Feedback lernt man oft mehr als beim Empfangen.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lasse Schüler:innen regelmäßig kurz ihren Lernprozess reflektieren.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"Drei Minuten am Stundenende: Was war heute schwierig? Welche Methode hat geholfen?"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Regelmäßigkeit schlägt Tiefe. 3 Minuten täglich wirken mehr als 30 Minuten einmal im Monat.</w:t>
            </w:r>
          </w:p>
        </w:tc>
      </w:tr>
    </w:tbl>
    <w:p>
      <w:pPr>
        <w:spacing w:after="0" w:before="140"/>
      </w:pPr>
      <w:r>
        <w:t xml:space="preserve"/>
      </w:r>
    </w:p>
    <w:p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375623" w:val="clear"/>
            <w:tcMar>
              <w:top w:type="dxa" w:w="88"/>
              <w:left w:type="dxa" w:w="160"/>
              <w:bottom w:type="dxa" w:w="44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E2EFDA"/>
                <w:sz w:val="27"/>
                <w:szCs w:val="27"/>
              </w:rPr>
              <w:t xml:space="preserve">③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PHASE 3 – Etablieren &amp; Verstetigen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70AD47" w:val="clear"/>
            <w:tcMar>
              <w:top w:type="dxa" w:w="44"/>
              <w:left w:type="dxa" w:w="160"/>
              <w:bottom w:type="dxa" w:w="64"/>
              <w:right w:type="dxa" w:w="160"/>
            </w:tcMar>
          </w:tcPr>
          <w:p>
            <w:r>
              <w:rPr>
                <w:rFonts w:ascii="Arial" w:cs="Arial" w:eastAsia="Arial" w:hAnsi="Arial"/>
                <w:i/>
                <w:iCs/>
                <w:color w:val="FFFFFF"/>
                <w:sz w:val="18"/>
                <w:szCs w:val="18"/>
              </w:rPr>
              <w:t xml:space="preserve">SRL/SOL wird zur Schulkultur – nicht zum Projekt</w:t>
            </w:r>
          </w:p>
        </w:tc>
      </w:tr>
    </w:tbl>
    <w:p>
      <w:pPr>
        <w:spacing w:after="0" w:before="8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Fächerübergreifend: einheitliche Begriffe für Strategien, Hefter-Kriterien, Rechercheregeln.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Alle Lehrkräfte sagen "Abrufübung", "Rückwärtsplanung", "Quellenangabe" – keine Doppelnamensgebung.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Einheitliche Begriffe senken die kognitive Last bei Schüler:innen.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überprüfe, ob Schüler:innen Methoden und Planungstools wirklich nutzen – nicht nur kennen.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"Zeig mir deinen Lernplan für die SA." oder "Welche Recherchequelle hast du genutzt – und warum?"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Wissen und Anwenden sind zwei verschiedene Dinge. Beides gezielt einfordern.</w:t>
            </w:r>
          </w:p>
        </w:tc>
      </w:tr>
      <w:tr>
        <w:tc>
          <w:tcPr>
            <w:tcW w:type="dxa" w:w="480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70AD47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E2EFDA" w:sz="2"/>
              <w:left w:val="single" w:color="E2EFDA" w:sz="2"/>
              <w:bottom w:val="single" w:color="E2EFDA" w:sz="2"/>
              <w:right w:val="single" w:color="E2EFDA" w:sz="2"/>
            </w:tcBorders>
            <w:shd w:fill="F0F7EC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9"/>
                <w:szCs w:val="19"/>
              </w:rPr>
              <w:t xml:space="preserve">Ich tausche mich kollegial aus: Was funktioniert? Welche Methode wollen wir als Nächstes verankern?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70AD47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10 Minuten pro Fachschaftssitzung: Kurze SRL-Runde. Kein großes Format nötig.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10 Minuten Teambesprechung wirken mehr als ein langer Pädagogischer Tag.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70AD47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375623"/>
          <w:sz w:val="20"/>
          <w:szCs w:val="20"/>
        </w:rPr>
        <w:t xml:space="preserve">Häufige Fehler – und wie es besser geht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451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fill="375623" w:val="clear"/>
            <w:tcMar>
              <w:top w:type="dxa" w:w="70"/>
              <w:left w:type="dxa" w:w="12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Nicht so</w:t>
            </w:r>
          </w:p>
        </w:tc>
        <w:tc>
          <w:tcPr>
            <w:tcW w:type="dxa" w:w="451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fill="70AD47" w:val="clear"/>
            <w:tcMar>
              <w:top w:type="dxa" w:w="70"/>
              <w:left w:type="dxa" w:w="120"/>
              <w:bottom w:type="dxa" w:w="70"/>
              <w:right w:type="dxa" w:w="9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Besser so</w:t>
            </w:r>
          </w:p>
        </w:tc>
      </w:tr>
      <w:tr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0F7EC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8"/>
                <w:szCs w:val="18"/>
              </w:rPr>
              <w:t xml:space="preserve">Strategie einmal zeigen, nie wiederholen</w:t>
            </w:r>
          </w:p>
        </w:tc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2EFDA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Regelmäßig einbetten, variieren, in Fach integrieren</w:t>
            </w:r>
          </w:p>
        </w:tc>
      </w:tr>
      <w:tr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8"/>
                <w:szCs w:val="18"/>
              </w:rPr>
              <w:t xml:space="preserve">Lernplanung nur nennen, nicht modellieren</w:t>
            </w:r>
          </w:p>
        </w:tc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Eigenen Planungsprozess laut denkend zeigen</w:t>
            </w:r>
          </w:p>
        </w:tc>
      </w:tr>
      <w:tr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0F7EC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8"/>
                <w:szCs w:val="18"/>
              </w:rPr>
              <w:t xml:space="preserve">KI-Tools ignorieren oder pauschal verbieten</w:t>
            </w:r>
          </w:p>
        </w:tc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2EFDA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KI kritisch einbetten und Reflexion fordern</w:t>
            </w:r>
          </w:p>
        </w:tc>
      </w:tr>
      <w:tr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8"/>
                <w:szCs w:val="18"/>
              </w:rPr>
              <w:t xml:space="preserve">Recherche-Auftrag ohne Quellenanforderung</w:t>
            </w:r>
          </w:p>
        </w:tc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Mind. 2 Quellen vorschreiben, eine davon analog</w:t>
            </w:r>
          </w:p>
        </w:tc>
      </w:tr>
      <w:tr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0F7EC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8"/>
                <w:szCs w:val="18"/>
              </w:rPr>
              <w:t xml:space="preserve">Durchhalten loben – egal wie</w:t>
            </w:r>
          </w:p>
        </w:tc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E2EFDA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Produktive Anstrengung und Pausen unterscheiden lehren</w:t>
            </w:r>
          </w:p>
        </w:tc>
      </w:tr>
      <w:tr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b/>
                <w:bCs/>
                <w:color w:val="375623"/>
                <w:sz w:val="18"/>
                <w:szCs w:val="18"/>
              </w:rPr>
              <w:t xml:space="preserve">SRL als Zusatzthema neben dem Fach</w:t>
            </w:r>
          </w:p>
        </w:tc>
        <w:tc>
          <w:tcPr>
            <w:tcW w:type="dxa" w:w="4513"/>
            <w:tcBorders>
              <w:top w:val="single" w:color="BDC3C7" w:sz="2"/>
              <w:left w:val="single" w:color="BDC3C7" w:sz="2"/>
              <w:bottom w:val="single" w:color="BDC3C7" w:sz="2"/>
              <w:right w:val="single" w:color="BDC3C7" w:sz="2"/>
            </w:tcBorders>
            <w:shd w:fill="FFFFFF" w:val="clear"/>
            <w:tcMar>
              <w:top w:type="dxa" w:w="52"/>
              <w:left w:type="dxa" w:w="110"/>
              <w:bottom w:type="dxa" w:w="52"/>
              <w:right w:type="dxa" w:w="8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SRL-Strategien in den Fachinhalt integrieren</w:t>
            </w:r>
          </w:p>
        </w:tc>
      </w:tr>
    </w:tbl>
    <w:p>
      <w:pPr>
        <w:spacing w:after="0" w:before="200"/>
      </w:pPr>
      <w:r>
        <w:t xml:space="preserve"/>
      </w:r>
    </w:p>
    <w:p>
      <w:pPr>
        <w:jc w:val="center"/>
      </w:pPr>
      <w:r>
        <w:rPr>
          <w:rFonts w:ascii="Arial" w:cs="Arial" w:eastAsia="Arial" w:hAnsi="Arial"/>
          <w:i/>
          <w:iCs/>
          <w:color w:val="AAAAAA"/>
          <w:sz w:val="14"/>
          <w:szCs w:val="14"/>
        </w:rPr>
        <w:t xml:space="preserve">Quellen: Lesperance et al. (2023); Zimmermann (2000); Hattie (2009); Karlen et al. (2025); KMK (2016) | Gymnasium Jgst. 8–10 | 2025/26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C3E50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2026-06-01T07:36:28.860Z</dcterms:created>
  <dcterms:modified xsi:type="dcterms:W3CDTF">2026-06-01T07:36:28.860Z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